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486" w:rsidRDefault="00390486">
      <w:r>
        <w:rPr>
          <w:rFonts w:eastAsia="Times New Roman" w:cs="Arial"/>
          <w:b/>
          <w:caps/>
          <w:noProof/>
          <w:color w:val="000000"/>
          <w:spacing w:val="90"/>
          <w:lang w:eastAsia="en-GB"/>
        </w:rPr>
        <w:drawing>
          <wp:anchor distT="0" distB="0" distL="114300" distR="114300" simplePos="0" relativeHeight="251659264" behindDoc="0" locked="0" layoutInCell="1" allowOverlap="1" wp14:anchorId="770FEEED" wp14:editId="394DE0FA">
            <wp:simplePos x="0" y="0"/>
            <wp:positionH relativeFrom="column">
              <wp:posOffset>-205105</wp:posOffset>
            </wp:positionH>
            <wp:positionV relativeFrom="paragraph">
              <wp:posOffset>-287020</wp:posOffset>
            </wp:positionV>
            <wp:extent cx="2486025" cy="774065"/>
            <wp:effectExtent l="0" t="0" r="952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owledge-quarter-logo-colour-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86025" cy="774065"/>
                    </a:xfrm>
                    <a:prstGeom prst="rect">
                      <a:avLst/>
                    </a:prstGeom>
                  </pic:spPr>
                </pic:pic>
              </a:graphicData>
            </a:graphic>
            <wp14:sizeRelH relativeFrom="page">
              <wp14:pctWidth>0</wp14:pctWidth>
            </wp14:sizeRelH>
            <wp14:sizeRelV relativeFrom="page">
              <wp14:pctHeight>0</wp14:pctHeight>
            </wp14:sizeRelV>
          </wp:anchor>
        </w:drawing>
      </w:r>
    </w:p>
    <w:p w:rsidR="00390486" w:rsidRDefault="00390486"/>
    <w:p w:rsidR="00FE2CB6" w:rsidRDefault="00FE2CB6"/>
    <w:p w:rsidR="00390486" w:rsidRPr="00390486" w:rsidRDefault="00390486" w:rsidP="00390486">
      <w:pPr>
        <w:jc w:val="center"/>
        <w:rPr>
          <w:b/>
          <w:sz w:val="24"/>
          <w:szCs w:val="24"/>
        </w:rPr>
      </w:pPr>
      <w:r w:rsidRPr="00390486">
        <w:rPr>
          <w:b/>
          <w:sz w:val="24"/>
          <w:szCs w:val="24"/>
        </w:rPr>
        <w:t>KNOWLEDGE QUARTER – MEMBERSHIP APPLICATION FORM</w:t>
      </w:r>
    </w:p>
    <w:p w:rsidR="00390486" w:rsidRDefault="00390486" w:rsidP="00390486">
      <w:r>
        <w:t xml:space="preserve">Knowledge Quarter has been established to link recognised centres of excellence in science, research, academia, media and culture, enhancing opportunities for collaboration, networking and knowledge exchange.  </w:t>
      </w:r>
    </w:p>
    <w:p w:rsidR="00390486" w:rsidRPr="00390486" w:rsidRDefault="00390486" w:rsidP="00390486">
      <w:pPr>
        <w:rPr>
          <w:b/>
          <w:i/>
        </w:rPr>
      </w:pPr>
      <w:r w:rsidRPr="00390486">
        <w:rPr>
          <w:b/>
          <w:i/>
        </w:rPr>
        <w:t>Membership is open to organisations within a 1 mile radius of Kings Cross, St Pancras that actively engage in the advancement and dissemination of knowledge.</w:t>
      </w:r>
    </w:p>
    <w:p w:rsidR="00390486" w:rsidRDefault="00390486" w:rsidP="00390486">
      <w:r>
        <w:t xml:space="preserve">Applications to join the Knowledge Quarter are reviewed by the Knowledge Quarter Board of Directors and subject to their approval. If your organisation would like to join the Knowledge Quarter please complete </w:t>
      </w:r>
      <w:r w:rsidR="00001E1D">
        <w:t>the form that follows.</w:t>
      </w:r>
      <w:r>
        <w:t xml:space="preserve">  </w:t>
      </w:r>
    </w:p>
    <w:p w:rsidR="00390486" w:rsidRDefault="00390486" w:rsidP="00390486">
      <w:pPr>
        <w:spacing w:after="0"/>
      </w:pPr>
      <w:r>
        <w:t xml:space="preserve">Please return </w:t>
      </w:r>
      <w:r w:rsidR="00C26C9C">
        <w:t xml:space="preserve">as a word document </w:t>
      </w:r>
      <w:r>
        <w:t xml:space="preserve">to Jodie Eastwood, Chief Executive of the Knowledge Quarter on </w:t>
      </w:r>
      <w:hyperlink r:id="rId9" w:history="1">
        <w:r w:rsidRPr="00D73775">
          <w:rPr>
            <w:rStyle w:val="Hyperlink"/>
          </w:rPr>
          <w:t>jodie.eastwood@bl.uk</w:t>
        </w:r>
      </w:hyperlink>
      <w:r>
        <w:t xml:space="preserve"> or call 020 7412 7116</w:t>
      </w:r>
    </w:p>
    <w:p w:rsidR="00390486" w:rsidRDefault="00390486" w:rsidP="00390486">
      <w:pPr>
        <w:spacing w:after="0"/>
      </w:pPr>
    </w:p>
    <w:tbl>
      <w:tblPr>
        <w:tblStyle w:val="TableGrid"/>
        <w:tblW w:w="0" w:type="auto"/>
        <w:tblLook w:val="04A0" w:firstRow="1" w:lastRow="0" w:firstColumn="1" w:lastColumn="0" w:noHBand="0" w:noVBand="1"/>
      </w:tblPr>
      <w:tblGrid>
        <w:gridCol w:w="2943"/>
        <w:gridCol w:w="6299"/>
      </w:tblGrid>
      <w:tr w:rsidR="00390486" w:rsidTr="00390486">
        <w:trPr>
          <w:trHeight w:val="606"/>
        </w:trPr>
        <w:tc>
          <w:tcPr>
            <w:tcW w:w="9242" w:type="dxa"/>
            <w:gridSpan w:val="2"/>
            <w:shd w:val="clear" w:color="auto" w:fill="000000" w:themeFill="text1"/>
            <w:vAlign w:val="center"/>
          </w:tcPr>
          <w:p w:rsidR="00390486" w:rsidRPr="00390486" w:rsidRDefault="00390486" w:rsidP="00390486">
            <w:pPr>
              <w:jc w:val="center"/>
              <w:rPr>
                <w:b/>
                <w:color w:val="FFFFFF" w:themeColor="background1"/>
              </w:rPr>
            </w:pPr>
            <w:r w:rsidRPr="00390486">
              <w:rPr>
                <w:b/>
                <w:color w:val="FFFFFF" w:themeColor="background1"/>
              </w:rPr>
              <w:t>APPLICANT DETAILS</w:t>
            </w:r>
          </w:p>
        </w:tc>
      </w:tr>
      <w:tr w:rsidR="00390486" w:rsidTr="00C26C9C">
        <w:tc>
          <w:tcPr>
            <w:tcW w:w="2943" w:type="dxa"/>
            <w:shd w:val="clear" w:color="auto" w:fill="D9D9D9" w:themeFill="background1" w:themeFillShade="D9"/>
          </w:tcPr>
          <w:p w:rsidR="00390486" w:rsidRPr="00390486" w:rsidRDefault="00390486">
            <w:pPr>
              <w:rPr>
                <w:b/>
                <w:i/>
              </w:rPr>
            </w:pPr>
            <w:r w:rsidRPr="00390486">
              <w:rPr>
                <w:b/>
                <w:i/>
              </w:rPr>
              <w:t>Your name:</w:t>
            </w:r>
          </w:p>
          <w:p w:rsidR="00390486" w:rsidRPr="00390486" w:rsidRDefault="00390486">
            <w:pPr>
              <w:rPr>
                <w:b/>
                <w:i/>
              </w:rPr>
            </w:pPr>
          </w:p>
        </w:tc>
        <w:tc>
          <w:tcPr>
            <w:tcW w:w="6299" w:type="dxa"/>
          </w:tcPr>
          <w:p w:rsidR="00390486" w:rsidRDefault="00390486"/>
          <w:p w:rsidR="00390486" w:rsidRDefault="00390486"/>
        </w:tc>
      </w:tr>
      <w:tr w:rsidR="00390486" w:rsidTr="00C26C9C">
        <w:tc>
          <w:tcPr>
            <w:tcW w:w="2943" w:type="dxa"/>
            <w:shd w:val="clear" w:color="auto" w:fill="D9D9D9" w:themeFill="background1" w:themeFillShade="D9"/>
          </w:tcPr>
          <w:p w:rsidR="00390486" w:rsidRPr="00390486" w:rsidRDefault="00390486">
            <w:pPr>
              <w:rPr>
                <w:b/>
                <w:i/>
              </w:rPr>
            </w:pPr>
            <w:r w:rsidRPr="00390486">
              <w:rPr>
                <w:b/>
                <w:i/>
              </w:rPr>
              <w:t>Name of organisation:</w:t>
            </w:r>
          </w:p>
          <w:p w:rsidR="00390486" w:rsidRPr="00390486" w:rsidRDefault="00390486">
            <w:pPr>
              <w:rPr>
                <w:b/>
                <w:i/>
              </w:rPr>
            </w:pPr>
          </w:p>
        </w:tc>
        <w:tc>
          <w:tcPr>
            <w:tcW w:w="6299" w:type="dxa"/>
          </w:tcPr>
          <w:p w:rsidR="00390486" w:rsidRDefault="00390486"/>
        </w:tc>
      </w:tr>
      <w:tr w:rsidR="00390486" w:rsidTr="00C26C9C">
        <w:tc>
          <w:tcPr>
            <w:tcW w:w="2943" w:type="dxa"/>
            <w:shd w:val="clear" w:color="auto" w:fill="D9D9D9" w:themeFill="background1" w:themeFillShade="D9"/>
          </w:tcPr>
          <w:p w:rsidR="00390486" w:rsidRPr="00390486" w:rsidRDefault="00390486">
            <w:pPr>
              <w:rPr>
                <w:b/>
                <w:i/>
              </w:rPr>
            </w:pPr>
            <w:r w:rsidRPr="00390486">
              <w:rPr>
                <w:b/>
                <w:i/>
              </w:rPr>
              <w:t>Address:</w:t>
            </w:r>
          </w:p>
          <w:p w:rsidR="00390486" w:rsidRPr="00390486" w:rsidRDefault="00390486">
            <w:pPr>
              <w:rPr>
                <w:b/>
                <w:i/>
              </w:rPr>
            </w:pPr>
          </w:p>
        </w:tc>
        <w:tc>
          <w:tcPr>
            <w:tcW w:w="6299" w:type="dxa"/>
          </w:tcPr>
          <w:p w:rsidR="00390486" w:rsidRDefault="00390486"/>
        </w:tc>
      </w:tr>
      <w:tr w:rsidR="00390486" w:rsidTr="00C26C9C">
        <w:tc>
          <w:tcPr>
            <w:tcW w:w="2943" w:type="dxa"/>
            <w:shd w:val="clear" w:color="auto" w:fill="D9D9D9" w:themeFill="background1" w:themeFillShade="D9"/>
          </w:tcPr>
          <w:p w:rsidR="00390486" w:rsidRPr="00390486" w:rsidRDefault="00390486">
            <w:pPr>
              <w:rPr>
                <w:b/>
                <w:i/>
              </w:rPr>
            </w:pPr>
            <w:r w:rsidRPr="00390486">
              <w:rPr>
                <w:b/>
                <w:i/>
              </w:rPr>
              <w:t>Phone Number:</w:t>
            </w:r>
          </w:p>
          <w:p w:rsidR="00390486" w:rsidRPr="00390486" w:rsidRDefault="00390486">
            <w:pPr>
              <w:rPr>
                <w:b/>
                <w:i/>
              </w:rPr>
            </w:pPr>
          </w:p>
        </w:tc>
        <w:tc>
          <w:tcPr>
            <w:tcW w:w="6299" w:type="dxa"/>
          </w:tcPr>
          <w:p w:rsidR="00390486" w:rsidRDefault="00390486"/>
        </w:tc>
      </w:tr>
      <w:tr w:rsidR="00390486" w:rsidTr="00C26C9C">
        <w:tc>
          <w:tcPr>
            <w:tcW w:w="2943" w:type="dxa"/>
            <w:shd w:val="clear" w:color="auto" w:fill="D9D9D9" w:themeFill="background1" w:themeFillShade="D9"/>
          </w:tcPr>
          <w:p w:rsidR="00390486" w:rsidRPr="00390486" w:rsidRDefault="00390486">
            <w:pPr>
              <w:rPr>
                <w:b/>
                <w:i/>
              </w:rPr>
            </w:pPr>
            <w:r w:rsidRPr="00390486">
              <w:rPr>
                <w:b/>
                <w:i/>
              </w:rPr>
              <w:t>Email:</w:t>
            </w:r>
          </w:p>
          <w:p w:rsidR="00390486" w:rsidRPr="00390486" w:rsidRDefault="00390486">
            <w:pPr>
              <w:rPr>
                <w:b/>
                <w:i/>
              </w:rPr>
            </w:pPr>
          </w:p>
        </w:tc>
        <w:tc>
          <w:tcPr>
            <w:tcW w:w="6299" w:type="dxa"/>
          </w:tcPr>
          <w:p w:rsidR="00390486" w:rsidRDefault="00390486"/>
        </w:tc>
      </w:tr>
      <w:tr w:rsidR="00390486" w:rsidTr="00C26C9C">
        <w:tc>
          <w:tcPr>
            <w:tcW w:w="2943" w:type="dxa"/>
            <w:shd w:val="clear" w:color="auto" w:fill="D9D9D9" w:themeFill="background1" w:themeFillShade="D9"/>
          </w:tcPr>
          <w:p w:rsidR="00390486" w:rsidRPr="00390486" w:rsidRDefault="00390486">
            <w:pPr>
              <w:rPr>
                <w:b/>
                <w:i/>
              </w:rPr>
            </w:pPr>
            <w:r w:rsidRPr="00390486">
              <w:rPr>
                <w:b/>
                <w:i/>
              </w:rPr>
              <w:t>Website:</w:t>
            </w:r>
          </w:p>
          <w:p w:rsidR="00390486" w:rsidRPr="00390486" w:rsidRDefault="00390486">
            <w:pPr>
              <w:rPr>
                <w:b/>
                <w:i/>
              </w:rPr>
            </w:pPr>
          </w:p>
        </w:tc>
        <w:tc>
          <w:tcPr>
            <w:tcW w:w="6299" w:type="dxa"/>
          </w:tcPr>
          <w:p w:rsidR="00390486" w:rsidRDefault="00390486"/>
        </w:tc>
      </w:tr>
      <w:tr w:rsidR="00390486" w:rsidTr="00C26C9C">
        <w:tc>
          <w:tcPr>
            <w:tcW w:w="2943" w:type="dxa"/>
            <w:shd w:val="clear" w:color="auto" w:fill="D9D9D9" w:themeFill="background1" w:themeFillShade="D9"/>
          </w:tcPr>
          <w:p w:rsidR="00390486" w:rsidRPr="00390486" w:rsidRDefault="00390486">
            <w:pPr>
              <w:rPr>
                <w:b/>
                <w:i/>
              </w:rPr>
            </w:pPr>
            <w:r w:rsidRPr="00390486">
              <w:rPr>
                <w:b/>
                <w:i/>
              </w:rPr>
              <w:t>Sector:</w:t>
            </w:r>
          </w:p>
          <w:p w:rsidR="00390486" w:rsidRPr="00390486" w:rsidRDefault="00390486">
            <w:pPr>
              <w:rPr>
                <w:b/>
                <w:i/>
              </w:rPr>
            </w:pPr>
          </w:p>
        </w:tc>
        <w:tc>
          <w:tcPr>
            <w:tcW w:w="6299" w:type="dxa"/>
          </w:tcPr>
          <w:p w:rsidR="00390486" w:rsidRDefault="00390486"/>
        </w:tc>
      </w:tr>
      <w:tr w:rsidR="00390486" w:rsidTr="00C26C9C">
        <w:tc>
          <w:tcPr>
            <w:tcW w:w="2943" w:type="dxa"/>
            <w:shd w:val="clear" w:color="auto" w:fill="D9D9D9" w:themeFill="background1" w:themeFillShade="D9"/>
          </w:tcPr>
          <w:p w:rsidR="00390486" w:rsidRPr="00390486" w:rsidRDefault="00390486" w:rsidP="008E7158">
            <w:pPr>
              <w:rPr>
                <w:b/>
                <w:i/>
              </w:rPr>
            </w:pPr>
            <w:r w:rsidRPr="00390486">
              <w:rPr>
                <w:b/>
                <w:i/>
              </w:rPr>
              <w:t>Number of employees:</w:t>
            </w:r>
          </w:p>
          <w:p w:rsidR="00390486" w:rsidRPr="00390486" w:rsidRDefault="00390486" w:rsidP="008E7158">
            <w:pPr>
              <w:rPr>
                <w:b/>
                <w:i/>
              </w:rPr>
            </w:pPr>
          </w:p>
        </w:tc>
        <w:tc>
          <w:tcPr>
            <w:tcW w:w="6299" w:type="dxa"/>
          </w:tcPr>
          <w:p w:rsidR="00390486" w:rsidRDefault="00390486" w:rsidP="008E7158"/>
        </w:tc>
      </w:tr>
      <w:tr w:rsidR="00390486" w:rsidTr="00C26C9C">
        <w:tc>
          <w:tcPr>
            <w:tcW w:w="2943" w:type="dxa"/>
            <w:shd w:val="clear" w:color="auto" w:fill="D9D9D9" w:themeFill="background1" w:themeFillShade="D9"/>
          </w:tcPr>
          <w:p w:rsidR="00390486" w:rsidRPr="00390486" w:rsidRDefault="00390486" w:rsidP="008E7158">
            <w:pPr>
              <w:rPr>
                <w:b/>
                <w:i/>
              </w:rPr>
            </w:pPr>
            <w:r w:rsidRPr="00390486">
              <w:rPr>
                <w:b/>
                <w:i/>
              </w:rPr>
              <w:t>Turnover:</w:t>
            </w:r>
          </w:p>
          <w:p w:rsidR="00390486" w:rsidRPr="00390486" w:rsidRDefault="00390486" w:rsidP="008E7158">
            <w:pPr>
              <w:rPr>
                <w:b/>
                <w:i/>
              </w:rPr>
            </w:pPr>
          </w:p>
        </w:tc>
        <w:tc>
          <w:tcPr>
            <w:tcW w:w="6299" w:type="dxa"/>
          </w:tcPr>
          <w:p w:rsidR="00390486" w:rsidRDefault="00390486" w:rsidP="008E7158"/>
        </w:tc>
      </w:tr>
      <w:tr w:rsidR="00390486" w:rsidTr="00C26C9C">
        <w:tc>
          <w:tcPr>
            <w:tcW w:w="2943" w:type="dxa"/>
            <w:shd w:val="clear" w:color="auto" w:fill="D9D9D9" w:themeFill="background1" w:themeFillShade="D9"/>
          </w:tcPr>
          <w:p w:rsidR="00390486" w:rsidRPr="00390486" w:rsidRDefault="00390486" w:rsidP="008E7158">
            <w:pPr>
              <w:rPr>
                <w:b/>
                <w:i/>
              </w:rPr>
            </w:pPr>
            <w:r w:rsidRPr="00390486">
              <w:rPr>
                <w:b/>
                <w:i/>
              </w:rPr>
              <w:t>Date of establishment:</w:t>
            </w:r>
          </w:p>
          <w:p w:rsidR="00390486" w:rsidRPr="00390486" w:rsidRDefault="00390486" w:rsidP="008E7158">
            <w:pPr>
              <w:rPr>
                <w:b/>
                <w:i/>
              </w:rPr>
            </w:pPr>
          </w:p>
        </w:tc>
        <w:tc>
          <w:tcPr>
            <w:tcW w:w="6299" w:type="dxa"/>
          </w:tcPr>
          <w:p w:rsidR="00390486" w:rsidRDefault="00390486" w:rsidP="008E7158"/>
        </w:tc>
      </w:tr>
      <w:tr w:rsidR="00390486" w:rsidTr="00C26C9C">
        <w:tc>
          <w:tcPr>
            <w:tcW w:w="2943" w:type="dxa"/>
            <w:shd w:val="clear" w:color="auto" w:fill="D9D9D9" w:themeFill="background1" w:themeFillShade="D9"/>
          </w:tcPr>
          <w:p w:rsidR="00390486" w:rsidRPr="00390486" w:rsidRDefault="00390486" w:rsidP="008E7158">
            <w:pPr>
              <w:rPr>
                <w:b/>
                <w:i/>
              </w:rPr>
            </w:pPr>
            <w:r w:rsidRPr="00390486">
              <w:rPr>
                <w:b/>
                <w:i/>
              </w:rPr>
              <w:t>Are you a registered charity? If yes please provide us with your charity number:</w:t>
            </w:r>
          </w:p>
          <w:p w:rsidR="00390486" w:rsidRPr="00390486" w:rsidRDefault="00390486" w:rsidP="008E7158">
            <w:pPr>
              <w:rPr>
                <w:b/>
                <w:i/>
              </w:rPr>
            </w:pPr>
          </w:p>
        </w:tc>
        <w:tc>
          <w:tcPr>
            <w:tcW w:w="6299" w:type="dxa"/>
          </w:tcPr>
          <w:p w:rsidR="00390486" w:rsidRDefault="00390486" w:rsidP="008E7158"/>
        </w:tc>
      </w:tr>
    </w:tbl>
    <w:p w:rsidR="00390486" w:rsidRDefault="00390486"/>
    <w:tbl>
      <w:tblPr>
        <w:tblStyle w:val="TableGrid"/>
        <w:tblW w:w="0" w:type="auto"/>
        <w:tblLook w:val="04A0" w:firstRow="1" w:lastRow="0" w:firstColumn="1" w:lastColumn="0" w:noHBand="0" w:noVBand="1"/>
      </w:tblPr>
      <w:tblGrid>
        <w:gridCol w:w="9242"/>
      </w:tblGrid>
      <w:tr w:rsidR="00390486" w:rsidTr="00390486">
        <w:trPr>
          <w:trHeight w:val="606"/>
        </w:trPr>
        <w:tc>
          <w:tcPr>
            <w:tcW w:w="9242" w:type="dxa"/>
            <w:shd w:val="clear" w:color="auto" w:fill="000000" w:themeFill="text1"/>
            <w:vAlign w:val="center"/>
          </w:tcPr>
          <w:p w:rsidR="00C36937" w:rsidRDefault="00C36937" w:rsidP="008E7158">
            <w:pPr>
              <w:jc w:val="center"/>
              <w:rPr>
                <w:b/>
                <w:color w:val="FFFFFF" w:themeColor="background1"/>
              </w:rPr>
            </w:pPr>
          </w:p>
          <w:p w:rsidR="00390486" w:rsidRDefault="00390486" w:rsidP="008E7158">
            <w:pPr>
              <w:jc w:val="center"/>
              <w:rPr>
                <w:b/>
                <w:color w:val="FFFFFF" w:themeColor="background1"/>
              </w:rPr>
            </w:pPr>
            <w:r>
              <w:rPr>
                <w:b/>
                <w:color w:val="FFFFFF" w:themeColor="background1"/>
              </w:rPr>
              <w:t>APPLICATION QUESTIONS</w:t>
            </w:r>
          </w:p>
          <w:p w:rsidR="00C36937" w:rsidRDefault="00C36937" w:rsidP="008E7158">
            <w:pPr>
              <w:jc w:val="center"/>
              <w:rPr>
                <w:b/>
                <w:color w:val="FFFFFF" w:themeColor="background1"/>
              </w:rPr>
            </w:pPr>
          </w:p>
          <w:p w:rsidR="00C36937" w:rsidRPr="00C36937" w:rsidRDefault="00C36937" w:rsidP="008E7158">
            <w:pPr>
              <w:jc w:val="center"/>
              <w:rPr>
                <w:color w:val="FFFFFF" w:themeColor="background1"/>
              </w:rPr>
            </w:pPr>
            <w:r w:rsidRPr="00C36937">
              <w:rPr>
                <w:color w:val="FFFFFF" w:themeColor="background1"/>
              </w:rPr>
              <w:t xml:space="preserve">Please note that questions 3 </w:t>
            </w:r>
            <w:r>
              <w:rPr>
                <w:color w:val="FFFFFF" w:themeColor="background1"/>
              </w:rPr>
              <w:t>to</w:t>
            </w:r>
            <w:r w:rsidRPr="00C36937">
              <w:rPr>
                <w:color w:val="FFFFFF" w:themeColor="background1"/>
              </w:rPr>
              <w:t xml:space="preserve"> 6 are optional, if these are not completed it will not affected your membership application.</w:t>
            </w:r>
          </w:p>
          <w:p w:rsidR="00C36937" w:rsidRPr="00390486" w:rsidRDefault="00C36937" w:rsidP="008E7158">
            <w:pPr>
              <w:jc w:val="center"/>
              <w:rPr>
                <w:b/>
                <w:color w:val="FFFFFF" w:themeColor="background1"/>
              </w:rPr>
            </w:pPr>
          </w:p>
        </w:tc>
      </w:tr>
      <w:tr w:rsidR="00740C05" w:rsidTr="00C26C9C">
        <w:tc>
          <w:tcPr>
            <w:tcW w:w="9242" w:type="dxa"/>
            <w:shd w:val="clear" w:color="auto" w:fill="D9D9D9" w:themeFill="background1" w:themeFillShade="D9"/>
          </w:tcPr>
          <w:p w:rsidR="00740C05" w:rsidRPr="00C26C9C" w:rsidRDefault="00740C05" w:rsidP="00C26C9C">
            <w:pPr>
              <w:pStyle w:val="ListParagraph"/>
              <w:numPr>
                <w:ilvl w:val="0"/>
                <w:numId w:val="1"/>
              </w:numPr>
              <w:rPr>
                <w:b/>
                <w:i/>
              </w:rPr>
            </w:pPr>
            <w:r w:rsidRPr="00C26C9C">
              <w:rPr>
                <w:b/>
                <w:i/>
              </w:rPr>
              <w:t xml:space="preserve">Please describe your organisations purpose and how it how it aligns with the mission and aims of the Knowledge Quarter: </w:t>
            </w:r>
            <w:r w:rsidR="00C26C9C">
              <w:rPr>
                <w:b/>
                <w:i/>
              </w:rPr>
              <w:t>(250 words maximum)</w:t>
            </w:r>
          </w:p>
        </w:tc>
      </w:tr>
      <w:tr w:rsidR="00740C05" w:rsidTr="008E7158">
        <w:tc>
          <w:tcPr>
            <w:tcW w:w="9242" w:type="dxa"/>
          </w:tcPr>
          <w:p w:rsidR="00740C05" w:rsidRDefault="00740C05" w:rsidP="008E7158"/>
          <w:p w:rsidR="00C26C9C" w:rsidRDefault="00C26C9C" w:rsidP="008E7158"/>
          <w:p w:rsidR="00C26C9C" w:rsidRPr="00C26C9C" w:rsidRDefault="00C26C9C" w:rsidP="008E7158"/>
        </w:tc>
      </w:tr>
      <w:tr w:rsidR="00740C05" w:rsidTr="00C26C9C">
        <w:tc>
          <w:tcPr>
            <w:tcW w:w="9242" w:type="dxa"/>
            <w:shd w:val="clear" w:color="auto" w:fill="D9D9D9" w:themeFill="background1" w:themeFillShade="D9"/>
          </w:tcPr>
          <w:p w:rsidR="00740C05" w:rsidRPr="00C26C9C" w:rsidRDefault="00740C05" w:rsidP="00C26C9C">
            <w:pPr>
              <w:pStyle w:val="ListParagraph"/>
              <w:numPr>
                <w:ilvl w:val="0"/>
                <w:numId w:val="1"/>
              </w:numPr>
              <w:rPr>
                <w:b/>
                <w:i/>
              </w:rPr>
            </w:pPr>
            <w:r w:rsidRPr="00C26C9C">
              <w:rPr>
                <w:b/>
                <w:i/>
              </w:rPr>
              <w:t>Please describe how your organisation engages in the advancement and dissemination of knowledge:</w:t>
            </w:r>
            <w:r w:rsidR="00C26C9C">
              <w:rPr>
                <w:b/>
                <w:i/>
              </w:rPr>
              <w:t xml:space="preserve"> (200 words maximum)</w:t>
            </w:r>
          </w:p>
        </w:tc>
      </w:tr>
      <w:tr w:rsidR="00740C05" w:rsidTr="008E7158">
        <w:tc>
          <w:tcPr>
            <w:tcW w:w="9242" w:type="dxa"/>
          </w:tcPr>
          <w:p w:rsidR="00740C05" w:rsidRDefault="00740C05" w:rsidP="008E7158"/>
          <w:p w:rsidR="00C26C9C" w:rsidRDefault="00C26C9C" w:rsidP="008E7158"/>
          <w:p w:rsidR="00C26C9C" w:rsidRPr="00C26C9C" w:rsidRDefault="00C26C9C" w:rsidP="008E7158"/>
        </w:tc>
      </w:tr>
      <w:tr w:rsidR="00740C05" w:rsidTr="00C26C9C">
        <w:tc>
          <w:tcPr>
            <w:tcW w:w="9242" w:type="dxa"/>
            <w:shd w:val="clear" w:color="auto" w:fill="D9D9D9" w:themeFill="background1" w:themeFillShade="D9"/>
          </w:tcPr>
          <w:p w:rsidR="00740C05" w:rsidRPr="00C26C9C" w:rsidRDefault="00740C05" w:rsidP="00C26C9C">
            <w:pPr>
              <w:pStyle w:val="ListParagraph"/>
              <w:numPr>
                <w:ilvl w:val="0"/>
                <w:numId w:val="1"/>
              </w:numPr>
              <w:rPr>
                <w:b/>
                <w:i/>
              </w:rPr>
            </w:pPr>
            <w:r w:rsidRPr="00C26C9C">
              <w:rPr>
                <w:b/>
                <w:i/>
              </w:rPr>
              <w:t>Does your organisation participate in knowledge exchange activities? (If yes please provide details):</w:t>
            </w:r>
            <w:r w:rsidR="00C26C9C">
              <w:rPr>
                <w:b/>
                <w:i/>
              </w:rPr>
              <w:t xml:space="preserve"> (200 words maximum)</w:t>
            </w:r>
          </w:p>
        </w:tc>
      </w:tr>
      <w:tr w:rsidR="00740C05" w:rsidTr="008E7158">
        <w:tc>
          <w:tcPr>
            <w:tcW w:w="9242" w:type="dxa"/>
          </w:tcPr>
          <w:p w:rsidR="00740C05" w:rsidRDefault="00740C05" w:rsidP="008E7158"/>
          <w:p w:rsidR="00C26C9C" w:rsidRDefault="00C26C9C" w:rsidP="008E7158"/>
          <w:p w:rsidR="00C26C9C" w:rsidRPr="00C26C9C" w:rsidRDefault="00C26C9C" w:rsidP="008E7158"/>
        </w:tc>
      </w:tr>
      <w:tr w:rsidR="00740C05" w:rsidTr="00C26C9C">
        <w:tc>
          <w:tcPr>
            <w:tcW w:w="9242" w:type="dxa"/>
            <w:shd w:val="clear" w:color="auto" w:fill="D9D9D9" w:themeFill="background1" w:themeFillShade="D9"/>
          </w:tcPr>
          <w:p w:rsidR="00740C05" w:rsidRPr="00C26C9C" w:rsidRDefault="00740C05" w:rsidP="00C26C9C">
            <w:pPr>
              <w:pStyle w:val="ListParagraph"/>
              <w:numPr>
                <w:ilvl w:val="0"/>
                <w:numId w:val="1"/>
              </w:numPr>
              <w:rPr>
                <w:b/>
                <w:i/>
              </w:rPr>
            </w:pPr>
            <w:r w:rsidRPr="00C26C9C">
              <w:rPr>
                <w:b/>
                <w:i/>
              </w:rPr>
              <w:t>Does your organisation participate in community engagement activities? (If yes please provide details):</w:t>
            </w:r>
            <w:r w:rsidR="00C26C9C">
              <w:rPr>
                <w:b/>
                <w:i/>
              </w:rPr>
              <w:t xml:space="preserve"> (200 words maximum)</w:t>
            </w:r>
          </w:p>
        </w:tc>
      </w:tr>
      <w:tr w:rsidR="00740C05" w:rsidTr="008E7158">
        <w:tc>
          <w:tcPr>
            <w:tcW w:w="9242" w:type="dxa"/>
          </w:tcPr>
          <w:p w:rsidR="00740C05" w:rsidRDefault="00740C05" w:rsidP="008E7158"/>
          <w:p w:rsidR="00C26C9C" w:rsidRDefault="00C26C9C" w:rsidP="008E7158"/>
          <w:p w:rsidR="00C26C9C" w:rsidRPr="00C26C9C" w:rsidRDefault="00C26C9C" w:rsidP="008E7158"/>
        </w:tc>
      </w:tr>
      <w:tr w:rsidR="00740C05" w:rsidTr="00C26C9C">
        <w:tc>
          <w:tcPr>
            <w:tcW w:w="9242" w:type="dxa"/>
            <w:shd w:val="clear" w:color="auto" w:fill="D9D9D9" w:themeFill="background1" w:themeFillShade="D9"/>
          </w:tcPr>
          <w:p w:rsidR="00C26C9C" w:rsidRPr="00C26C9C" w:rsidRDefault="00740C05" w:rsidP="00C26C9C">
            <w:pPr>
              <w:pStyle w:val="ListParagraph"/>
              <w:numPr>
                <w:ilvl w:val="0"/>
                <w:numId w:val="1"/>
              </w:numPr>
              <w:rPr>
                <w:b/>
                <w:i/>
              </w:rPr>
            </w:pPr>
            <w:r w:rsidRPr="00C26C9C">
              <w:rPr>
                <w:b/>
                <w:i/>
              </w:rPr>
              <w:t>Does your organisation participate in advocacy activities? (If yes please provide details):</w:t>
            </w:r>
            <w:r w:rsidR="00C26C9C">
              <w:rPr>
                <w:b/>
                <w:i/>
              </w:rPr>
              <w:t xml:space="preserve"> (200 words maximum)</w:t>
            </w:r>
          </w:p>
        </w:tc>
      </w:tr>
      <w:tr w:rsidR="00740C05" w:rsidTr="008E7158">
        <w:tc>
          <w:tcPr>
            <w:tcW w:w="9242" w:type="dxa"/>
          </w:tcPr>
          <w:p w:rsidR="00740C05" w:rsidRDefault="00740C05" w:rsidP="008E7158"/>
          <w:p w:rsidR="00C26C9C" w:rsidRDefault="00C26C9C" w:rsidP="008E7158"/>
          <w:p w:rsidR="00C26C9C" w:rsidRPr="00C26C9C" w:rsidRDefault="00C26C9C" w:rsidP="008E7158"/>
        </w:tc>
      </w:tr>
      <w:tr w:rsidR="00740C05" w:rsidTr="00C26C9C">
        <w:tc>
          <w:tcPr>
            <w:tcW w:w="9242" w:type="dxa"/>
            <w:shd w:val="clear" w:color="auto" w:fill="D9D9D9" w:themeFill="background1" w:themeFillShade="D9"/>
          </w:tcPr>
          <w:p w:rsidR="00740C05" w:rsidRPr="00C26C9C" w:rsidRDefault="00740C05" w:rsidP="00C26C9C">
            <w:pPr>
              <w:pStyle w:val="ListParagraph"/>
              <w:numPr>
                <w:ilvl w:val="0"/>
                <w:numId w:val="1"/>
              </w:numPr>
              <w:rPr>
                <w:b/>
                <w:i/>
              </w:rPr>
            </w:pPr>
            <w:r w:rsidRPr="00C26C9C">
              <w:rPr>
                <w:b/>
                <w:i/>
              </w:rPr>
              <w:t>Does your organisation participate in public realm or environmental activities? (If yes please provide details):</w:t>
            </w:r>
            <w:r w:rsidR="00C26C9C">
              <w:rPr>
                <w:b/>
                <w:i/>
              </w:rPr>
              <w:t xml:space="preserve"> (200 words maximum)</w:t>
            </w:r>
          </w:p>
        </w:tc>
      </w:tr>
      <w:tr w:rsidR="00740C05" w:rsidTr="008E7158">
        <w:tc>
          <w:tcPr>
            <w:tcW w:w="9242" w:type="dxa"/>
          </w:tcPr>
          <w:p w:rsidR="00740C05" w:rsidRDefault="00740C05" w:rsidP="008E7158"/>
          <w:p w:rsidR="00C26C9C" w:rsidRDefault="00C26C9C" w:rsidP="008E7158"/>
          <w:p w:rsidR="00C26C9C" w:rsidRPr="00C26C9C" w:rsidRDefault="00C26C9C" w:rsidP="008E7158"/>
        </w:tc>
      </w:tr>
      <w:tr w:rsidR="00740C05" w:rsidTr="00C26C9C">
        <w:tc>
          <w:tcPr>
            <w:tcW w:w="9242" w:type="dxa"/>
            <w:shd w:val="clear" w:color="auto" w:fill="D9D9D9" w:themeFill="background1" w:themeFillShade="D9"/>
          </w:tcPr>
          <w:p w:rsidR="00740C05" w:rsidRDefault="00740C05" w:rsidP="00C26C9C">
            <w:pPr>
              <w:pStyle w:val="ListParagraph"/>
              <w:numPr>
                <w:ilvl w:val="0"/>
                <w:numId w:val="1"/>
              </w:numPr>
              <w:rPr>
                <w:b/>
                <w:i/>
              </w:rPr>
            </w:pPr>
            <w:r w:rsidRPr="00C26C9C">
              <w:rPr>
                <w:b/>
                <w:i/>
              </w:rPr>
              <w:t>Why would you like to become a Knowledge Quarter partner:</w:t>
            </w:r>
            <w:r w:rsidR="00C26C9C">
              <w:rPr>
                <w:b/>
                <w:i/>
              </w:rPr>
              <w:t xml:space="preserve"> (250 words maximum)</w:t>
            </w:r>
          </w:p>
          <w:p w:rsidR="00C26C9C" w:rsidRPr="00C26C9C" w:rsidRDefault="00C26C9C" w:rsidP="00C26C9C">
            <w:pPr>
              <w:pStyle w:val="ListParagraph"/>
              <w:ind w:left="360"/>
              <w:rPr>
                <w:b/>
                <w:i/>
              </w:rPr>
            </w:pPr>
          </w:p>
        </w:tc>
      </w:tr>
      <w:tr w:rsidR="00740C05" w:rsidTr="008E7158">
        <w:tc>
          <w:tcPr>
            <w:tcW w:w="9242" w:type="dxa"/>
          </w:tcPr>
          <w:p w:rsidR="00740C05" w:rsidRDefault="00740C05" w:rsidP="008E7158"/>
          <w:p w:rsidR="00C26C9C" w:rsidRDefault="00C26C9C" w:rsidP="008E7158"/>
          <w:p w:rsidR="00C26C9C" w:rsidRPr="00C26C9C" w:rsidRDefault="00C26C9C" w:rsidP="008E7158"/>
        </w:tc>
      </w:tr>
    </w:tbl>
    <w:p w:rsidR="00390486" w:rsidRDefault="00390486"/>
    <w:tbl>
      <w:tblPr>
        <w:tblStyle w:val="TableGrid"/>
        <w:tblW w:w="0" w:type="auto"/>
        <w:tblLook w:val="04A0" w:firstRow="1" w:lastRow="0" w:firstColumn="1" w:lastColumn="0" w:noHBand="0" w:noVBand="1"/>
      </w:tblPr>
      <w:tblGrid>
        <w:gridCol w:w="9242"/>
      </w:tblGrid>
      <w:tr w:rsidR="008E7158" w:rsidTr="008E7158">
        <w:trPr>
          <w:trHeight w:val="606"/>
        </w:trPr>
        <w:tc>
          <w:tcPr>
            <w:tcW w:w="9242" w:type="dxa"/>
            <w:shd w:val="clear" w:color="auto" w:fill="000000" w:themeFill="text1"/>
            <w:vAlign w:val="center"/>
          </w:tcPr>
          <w:p w:rsidR="008E7158" w:rsidRPr="00390486" w:rsidRDefault="008E7158" w:rsidP="008E7158">
            <w:pPr>
              <w:jc w:val="center"/>
              <w:rPr>
                <w:b/>
                <w:color w:val="FFFFFF" w:themeColor="background1"/>
              </w:rPr>
            </w:pPr>
            <w:r>
              <w:rPr>
                <w:b/>
                <w:color w:val="FFFFFF" w:themeColor="background1"/>
              </w:rPr>
              <w:t>ADDITIONAL DETAILS FOR APPLICANTS</w:t>
            </w:r>
          </w:p>
        </w:tc>
      </w:tr>
      <w:tr w:rsidR="008E7158" w:rsidTr="008E7158">
        <w:tc>
          <w:tcPr>
            <w:tcW w:w="9242" w:type="dxa"/>
          </w:tcPr>
          <w:p w:rsidR="008E7158" w:rsidRDefault="008E7158" w:rsidP="008E7158"/>
          <w:p w:rsidR="008E7158" w:rsidRPr="008E7158" w:rsidRDefault="008E7158" w:rsidP="008E7158">
            <w:pPr>
              <w:rPr>
                <w:b/>
                <w:i/>
              </w:rPr>
            </w:pPr>
            <w:r w:rsidRPr="008E7158">
              <w:rPr>
                <w:b/>
                <w:i/>
              </w:rPr>
              <w:t>Knowledge Quarter vision:</w:t>
            </w:r>
            <w:r>
              <w:rPr>
                <w:b/>
                <w:i/>
              </w:rPr>
              <w:t xml:space="preserve"> </w:t>
            </w:r>
            <w:r w:rsidR="003B641B" w:rsidRPr="003B641B">
              <w:t>Transforming lives through knowledge and innovation.</w:t>
            </w:r>
          </w:p>
          <w:p w:rsidR="008E7158" w:rsidRDefault="008E7158" w:rsidP="008E7158"/>
          <w:p w:rsidR="003B641B" w:rsidRPr="00077E45" w:rsidRDefault="008E7158" w:rsidP="003B641B">
            <w:r w:rsidRPr="008E7158">
              <w:rPr>
                <w:b/>
                <w:i/>
              </w:rPr>
              <w:t>Knowledge Quarter mission</w:t>
            </w:r>
            <w:r>
              <w:rPr>
                <w:b/>
                <w:i/>
              </w:rPr>
              <w:t xml:space="preserve">: </w:t>
            </w:r>
            <w:r w:rsidR="003B641B" w:rsidRPr="00077E45">
              <w:t>We work together to unlock our diverse neighbourhoods’ unique resources of knowledge and innovation, for the benefit of all.</w:t>
            </w:r>
          </w:p>
          <w:p w:rsidR="008E7158" w:rsidRPr="008E7158" w:rsidRDefault="008E7158" w:rsidP="008E7158">
            <w:pPr>
              <w:rPr>
                <w:b/>
                <w:i/>
              </w:rPr>
            </w:pPr>
          </w:p>
          <w:p w:rsidR="008E7158" w:rsidRDefault="008E7158" w:rsidP="008E7158"/>
          <w:p w:rsidR="003B641B" w:rsidRDefault="003B641B" w:rsidP="008E7158">
            <w:pPr>
              <w:rPr>
                <w:b/>
                <w:i/>
              </w:rPr>
            </w:pPr>
            <w:r>
              <w:rPr>
                <w:b/>
                <w:i/>
              </w:rPr>
              <w:t>Knowledge Quarter</w:t>
            </w:r>
            <w:r w:rsidRPr="008E7158">
              <w:rPr>
                <w:b/>
                <w:i/>
              </w:rPr>
              <w:t xml:space="preserve"> </w:t>
            </w:r>
            <w:r>
              <w:rPr>
                <w:b/>
                <w:i/>
              </w:rPr>
              <w:t>values</w:t>
            </w:r>
            <w:r w:rsidRPr="008E7158">
              <w:rPr>
                <w:b/>
                <w:i/>
              </w:rPr>
              <w:t xml:space="preserve">: </w:t>
            </w:r>
          </w:p>
          <w:p w:rsidR="003B641B" w:rsidRDefault="003B641B" w:rsidP="003B641B">
            <w:pPr>
              <w:rPr>
                <w:b/>
                <w:i/>
              </w:rPr>
            </w:pPr>
          </w:p>
          <w:p w:rsidR="003B641B" w:rsidRPr="00077E45" w:rsidRDefault="003B641B" w:rsidP="003B641B">
            <w:pPr>
              <w:pStyle w:val="ListParagraph"/>
              <w:numPr>
                <w:ilvl w:val="0"/>
                <w:numId w:val="3"/>
              </w:numPr>
              <w:ind w:left="360"/>
            </w:pPr>
            <w:r w:rsidRPr="003B641B">
              <w:rPr>
                <w:b/>
              </w:rPr>
              <w:t>Collaborative -</w:t>
            </w:r>
            <w:r w:rsidRPr="00077E45">
              <w:t xml:space="preserve"> We work together to leverage the collective genius of our members.</w:t>
            </w:r>
          </w:p>
          <w:p w:rsidR="003B641B" w:rsidRPr="00077E45" w:rsidRDefault="003B641B" w:rsidP="003B641B">
            <w:pPr>
              <w:pStyle w:val="ListParagraph"/>
              <w:numPr>
                <w:ilvl w:val="0"/>
                <w:numId w:val="3"/>
              </w:numPr>
              <w:ind w:left="360"/>
            </w:pPr>
            <w:r w:rsidRPr="003B641B">
              <w:rPr>
                <w:b/>
              </w:rPr>
              <w:t>Ambitious -</w:t>
            </w:r>
            <w:r w:rsidRPr="00077E45">
              <w:t xml:space="preserve"> We </w:t>
            </w:r>
            <w:r>
              <w:t>are</w:t>
            </w:r>
            <w:r w:rsidRPr="00077E45">
              <w:t xml:space="preserve"> naturally dynamic and experimental.</w:t>
            </w:r>
          </w:p>
          <w:p w:rsidR="003B641B" w:rsidRPr="00077E45" w:rsidRDefault="003B641B" w:rsidP="003B641B">
            <w:pPr>
              <w:pStyle w:val="ListParagraph"/>
              <w:numPr>
                <w:ilvl w:val="0"/>
                <w:numId w:val="3"/>
              </w:numPr>
              <w:ind w:left="360"/>
            </w:pPr>
            <w:r w:rsidRPr="003B641B">
              <w:rPr>
                <w:b/>
              </w:rPr>
              <w:t>Innovative -</w:t>
            </w:r>
            <w:r w:rsidRPr="00077E45">
              <w:t xml:space="preserve"> We cultivate ideas that explore new ways to create new opportunities. </w:t>
            </w:r>
            <w:bookmarkStart w:id="0" w:name="_GoBack"/>
            <w:bookmarkEnd w:id="0"/>
          </w:p>
          <w:p w:rsidR="003B641B" w:rsidRPr="00077E45" w:rsidRDefault="003B641B" w:rsidP="003B641B">
            <w:pPr>
              <w:pStyle w:val="ListParagraph"/>
              <w:numPr>
                <w:ilvl w:val="0"/>
                <w:numId w:val="3"/>
              </w:numPr>
              <w:ind w:left="360"/>
            </w:pPr>
            <w:r w:rsidRPr="003B641B">
              <w:rPr>
                <w:b/>
              </w:rPr>
              <w:t>Trust -</w:t>
            </w:r>
            <w:r w:rsidRPr="00077E45">
              <w:t xml:space="preserve"> We nurture trust and friendship at the heart of all our relationships.</w:t>
            </w:r>
          </w:p>
          <w:p w:rsidR="003B641B" w:rsidRDefault="003B641B" w:rsidP="008E7158">
            <w:pPr>
              <w:rPr>
                <w:b/>
                <w:i/>
              </w:rPr>
            </w:pPr>
          </w:p>
          <w:p w:rsidR="008E7158" w:rsidRPr="008E7158" w:rsidRDefault="008E7158" w:rsidP="008E7158">
            <w:pPr>
              <w:rPr>
                <w:b/>
                <w:i/>
              </w:rPr>
            </w:pPr>
            <w:r>
              <w:rPr>
                <w:b/>
                <w:i/>
              </w:rPr>
              <w:t>Knowledge Quarter</w:t>
            </w:r>
            <w:r w:rsidRPr="008E7158">
              <w:rPr>
                <w:b/>
                <w:i/>
              </w:rPr>
              <w:t xml:space="preserve"> aims and objectives: </w:t>
            </w:r>
          </w:p>
          <w:p w:rsidR="008E7158" w:rsidRDefault="008E7158" w:rsidP="008E7158"/>
          <w:p w:rsidR="003B641B" w:rsidRPr="00077E45" w:rsidRDefault="003B641B" w:rsidP="003B641B">
            <w:pPr>
              <w:pStyle w:val="ListParagraph"/>
              <w:numPr>
                <w:ilvl w:val="0"/>
                <w:numId w:val="4"/>
              </w:numPr>
              <w:ind w:left="360"/>
            </w:pPr>
            <w:r w:rsidRPr="003B641B">
              <w:rPr>
                <w:b/>
              </w:rPr>
              <w:t>Advocacy -</w:t>
            </w:r>
            <w:r w:rsidRPr="00077E45">
              <w:t xml:space="preserve"> The Knowledge Quarter will increase the area’s profile through advocacy and stakeholder engagement, both nationally and internationally.</w:t>
            </w:r>
          </w:p>
          <w:p w:rsidR="003B641B" w:rsidRPr="00077E45" w:rsidRDefault="003B641B" w:rsidP="003B641B"/>
          <w:p w:rsidR="003B641B" w:rsidRPr="00077E45" w:rsidRDefault="003B641B" w:rsidP="003B641B">
            <w:pPr>
              <w:pStyle w:val="ListParagraph"/>
              <w:numPr>
                <w:ilvl w:val="0"/>
                <w:numId w:val="4"/>
              </w:numPr>
              <w:ind w:left="360"/>
            </w:pPr>
            <w:r w:rsidRPr="003B641B">
              <w:rPr>
                <w:b/>
              </w:rPr>
              <w:t>Knowledge exchange -</w:t>
            </w:r>
            <w:r w:rsidRPr="00077E45">
              <w:t xml:space="preserve"> The Knowledge Quarter will facilitate knowledge exchange and identify opportunities for openness, collaboration and networking between its members.</w:t>
            </w:r>
          </w:p>
          <w:p w:rsidR="003B641B" w:rsidRPr="00077E45" w:rsidRDefault="003B641B" w:rsidP="003B641B"/>
          <w:p w:rsidR="003B641B" w:rsidRPr="00077E45" w:rsidRDefault="003B641B" w:rsidP="003B641B">
            <w:pPr>
              <w:pStyle w:val="ListParagraph"/>
              <w:numPr>
                <w:ilvl w:val="0"/>
                <w:numId w:val="4"/>
              </w:numPr>
              <w:ind w:left="360"/>
            </w:pPr>
            <w:r w:rsidRPr="003B641B">
              <w:rPr>
                <w:b/>
              </w:rPr>
              <w:t>People -</w:t>
            </w:r>
            <w:r w:rsidRPr="00077E45">
              <w:t xml:space="preserve"> The Knowledge Quarter will work with its members to increase public access to their knowledge, resources and collections, creating opportunities for </w:t>
            </w:r>
            <w:r>
              <w:t xml:space="preserve">exchange with </w:t>
            </w:r>
            <w:r w:rsidRPr="00077E45">
              <w:t>local citizens.</w:t>
            </w:r>
          </w:p>
          <w:p w:rsidR="003B641B" w:rsidRPr="00077E45" w:rsidRDefault="003B641B" w:rsidP="003B641B"/>
          <w:p w:rsidR="003B641B" w:rsidRPr="00077E45" w:rsidRDefault="003B641B" w:rsidP="003B641B">
            <w:pPr>
              <w:pStyle w:val="ListParagraph"/>
              <w:numPr>
                <w:ilvl w:val="0"/>
                <w:numId w:val="4"/>
              </w:numPr>
              <w:ind w:left="360"/>
            </w:pPr>
            <w:r w:rsidRPr="003B641B">
              <w:rPr>
                <w:b/>
              </w:rPr>
              <w:t>Place -</w:t>
            </w:r>
            <w:r w:rsidRPr="00077E45">
              <w:t xml:space="preserve"> The Knowledge Quarter will work with its members to identify and support work that improves our local environment, creating a great place for people to live, work and visit.</w:t>
            </w:r>
          </w:p>
          <w:p w:rsidR="008E7158" w:rsidRDefault="008E7158" w:rsidP="008E7158"/>
          <w:p w:rsidR="00456E71" w:rsidRPr="00456E71" w:rsidRDefault="00456E71" w:rsidP="008E7158">
            <w:pPr>
              <w:rPr>
                <w:b/>
                <w:i/>
              </w:rPr>
            </w:pPr>
            <w:r w:rsidRPr="00456E71">
              <w:rPr>
                <w:b/>
                <w:i/>
              </w:rPr>
              <w:t>Benefits of Knowledge Quarter partnership:</w:t>
            </w:r>
          </w:p>
          <w:p w:rsidR="00456E71" w:rsidRDefault="00456E71" w:rsidP="008E7158"/>
          <w:p w:rsidR="00456E71" w:rsidRDefault="00456E71" w:rsidP="00456E71">
            <w:r>
              <w:t>Becoming a Knowledge Quarter par</w:t>
            </w:r>
            <w:r w:rsidR="003B641B">
              <w:t>tner gives you access to over 100 partners, 7</w:t>
            </w:r>
            <w:r>
              <w:t xml:space="preserve">0000 employees, </w:t>
            </w:r>
            <w:r w:rsidR="003B641B">
              <w:t>hundreds</w:t>
            </w:r>
            <w:r>
              <w:t xml:space="preserve"> of events and an infinite number of opportunities for knowledge sharing and collaboration. Become a part of London’s biggest and strongest concentration of knowledge-based organisations contributing to the strategic vision and development of a 21st century world-class research hub.</w:t>
            </w:r>
          </w:p>
          <w:p w:rsidR="00456E71" w:rsidRDefault="00456E71" w:rsidP="00456E71"/>
          <w:p w:rsidR="008E7158" w:rsidRDefault="00456E71" w:rsidP="00456E71">
            <w:r>
              <w:t xml:space="preserve">All partners hold a seat on the Knowledge Quarter Steering Group and may also appoint an appropriate member of staff to each Knowledge Quarter </w:t>
            </w:r>
            <w:r w:rsidR="003B641B">
              <w:t>project working group</w:t>
            </w:r>
            <w:r>
              <w:t>. We encourage partners to get involved our governance and directly influence the work of the Knowledge Quarter.</w:t>
            </w:r>
          </w:p>
          <w:p w:rsidR="008E7158" w:rsidRDefault="008E7158" w:rsidP="008E7158"/>
          <w:p w:rsidR="00456E71" w:rsidRPr="00456E71" w:rsidRDefault="00456E71" w:rsidP="008E7158">
            <w:pPr>
              <w:rPr>
                <w:b/>
                <w:i/>
              </w:rPr>
            </w:pPr>
            <w:r w:rsidRPr="00456E71">
              <w:rPr>
                <w:b/>
                <w:i/>
              </w:rPr>
              <w:t>Cost of becoming a Knowledge Quarter partner:</w:t>
            </w:r>
          </w:p>
          <w:p w:rsidR="00456E71" w:rsidRDefault="00456E71" w:rsidP="008E7158"/>
          <w:p w:rsidR="00456E71" w:rsidRPr="00D57882" w:rsidRDefault="00456E71" w:rsidP="00456E71">
            <w:pPr>
              <w:rPr>
                <w:rFonts w:cs="Arial"/>
                <w:i/>
                <w:caps/>
                <w:sz w:val="20"/>
                <w:szCs w:val="20"/>
              </w:rPr>
            </w:pPr>
            <w:r w:rsidRPr="00D57882">
              <w:rPr>
                <w:rFonts w:cs="Arial"/>
                <w:i/>
                <w:caps/>
                <w:sz w:val="20"/>
                <w:szCs w:val="20"/>
              </w:rPr>
              <w:t>Discounted categories</w:t>
            </w:r>
          </w:p>
          <w:p w:rsidR="00456E71" w:rsidRDefault="00456E71" w:rsidP="00456E71">
            <w:pPr>
              <w:rPr>
                <w:rFonts w:cs="Arial"/>
                <w:sz w:val="20"/>
                <w:szCs w:val="20"/>
              </w:rPr>
            </w:pPr>
          </w:p>
          <w:p w:rsidR="00456E71" w:rsidRPr="00D57882" w:rsidRDefault="00456E71" w:rsidP="00456E71">
            <w:pPr>
              <w:rPr>
                <w:rFonts w:cs="Arial"/>
                <w:sz w:val="20"/>
                <w:szCs w:val="20"/>
              </w:rPr>
            </w:pPr>
            <w:r>
              <w:rPr>
                <w:rFonts w:cs="Arial"/>
                <w:sz w:val="20"/>
                <w:szCs w:val="20"/>
              </w:rPr>
              <w:t xml:space="preserve">Community Partner: </w:t>
            </w:r>
            <w:r w:rsidRPr="00D57882">
              <w:rPr>
                <w:rFonts w:cs="Arial"/>
                <w:sz w:val="20"/>
                <w:szCs w:val="20"/>
              </w:rPr>
              <w:t xml:space="preserve">Discounted rate 50% of the </w:t>
            </w:r>
            <w:r>
              <w:rPr>
                <w:rFonts w:cs="Arial"/>
                <w:sz w:val="20"/>
                <w:szCs w:val="20"/>
              </w:rPr>
              <w:t>current scaled membership rates</w:t>
            </w:r>
          </w:p>
          <w:p w:rsidR="00456E71" w:rsidRPr="00D57882" w:rsidRDefault="00456E71" w:rsidP="00456E71">
            <w:pPr>
              <w:rPr>
                <w:rFonts w:cs="Arial"/>
                <w:sz w:val="20"/>
                <w:szCs w:val="20"/>
              </w:rPr>
            </w:pPr>
            <w:r>
              <w:rPr>
                <w:rFonts w:cs="Arial"/>
                <w:sz w:val="20"/>
                <w:szCs w:val="20"/>
              </w:rPr>
              <w:t xml:space="preserve">Charity Partner: </w:t>
            </w:r>
            <w:r w:rsidRPr="00D57882">
              <w:rPr>
                <w:rFonts w:cs="Arial"/>
                <w:sz w:val="20"/>
                <w:szCs w:val="20"/>
              </w:rPr>
              <w:t>Discounted rate 25% of current scaled membership rates</w:t>
            </w:r>
          </w:p>
          <w:p w:rsidR="00456E71" w:rsidRPr="00D57882" w:rsidRDefault="00456E71" w:rsidP="00456E71">
            <w:pPr>
              <w:rPr>
                <w:rFonts w:cs="Arial"/>
                <w:sz w:val="20"/>
                <w:szCs w:val="20"/>
              </w:rPr>
            </w:pPr>
          </w:p>
          <w:p w:rsidR="00456E71" w:rsidRPr="00D57882" w:rsidRDefault="00456E71" w:rsidP="00456E71">
            <w:pPr>
              <w:rPr>
                <w:rFonts w:cs="Arial"/>
                <w:i/>
                <w:caps/>
                <w:sz w:val="20"/>
                <w:szCs w:val="20"/>
              </w:rPr>
            </w:pPr>
            <w:r>
              <w:rPr>
                <w:rFonts w:cs="Arial"/>
                <w:i/>
                <w:caps/>
                <w:sz w:val="20"/>
                <w:szCs w:val="20"/>
              </w:rPr>
              <w:t>COST BASED ON ORGANISATION SIZE</w:t>
            </w:r>
          </w:p>
          <w:p w:rsidR="00456E71" w:rsidRPr="00D57882" w:rsidRDefault="00456E71" w:rsidP="00456E71">
            <w:pPr>
              <w:rPr>
                <w:rFonts w:cs="Arial"/>
                <w:sz w:val="20"/>
                <w:szCs w:val="20"/>
              </w:rPr>
            </w:pPr>
          </w:p>
          <w:p w:rsidR="00456E71" w:rsidRPr="00D57882" w:rsidRDefault="00456E71" w:rsidP="00456E71">
            <w:pPr>
              <w:rPr>
                <w:rFonts w:cs="Arial"/>
                <w:sz w:val="20"/>
                <w:szCs w:val="20"/>
              </w:rPr>
            </w:pPr>
            <w:r w:rsidRPr="00D57882">
              <w:rPr>
                <w:rFonts w:cs="Arial"/>
                <w:sz w:val="20"/>
                <w:szCs w:val="20"/>
              </w:rPr>
              <w:t>5,001-10,000 employees</w:t>
            </w:r>
            <w:r w:rsidRPr="00D57882">
              <w:rPr>
                <w:rFonts w:cs="Arial"/>
                <w:sz w:val="20"/>
                <w:szCs w:val="20"/>
              </w:rPr>
              <w:tab/>
            </w:r>
            <w:r w:rsidRPr="00D57882">
              <w:rPr>
                <w:rFonts w:cs="Arial"/>
                <w:b/>
                <w:sz w:val="20"/>
                <w:szCs w:val="20"/>
              </w:rPr>
              <w:t>£20,000</w:t>
            </w:r>
            <w:r w:rsidRPr="00D57882">
              <w:rPr>
                <w:rFonts w:cs="Arial"/>
                <w:b/>
                <w:sz w:val="20"/>
                <w:szCs w:val="20"/>
              </w:rPr>
              <w:tab/>
            </w:r>
          </w:p>
          <w:p w:rsidR="00456E71" w:rsidRPr="00D57882" w:rsidRDefault="00456E71" w:rsidP="00456E71">
            <w:pPr>
              <w:rPr>
                <w:rFonts w:cs="Arial"/>
                <w:sz w:val="20"/>
                <w:szCs w:val="20"/>
              </w:rPr>
            </w:pPr>
            <w:r>
              <w:rPr>
                <w:rFonts w:cs="Arial"/>
                <w:sz w:val="20"/>
                <w:szCs w:val="20"/>
              </w:rPr>
              <w:t>3,001-5,000 employees</w:t>
            </w:r>
            <w:r w:rsidRPr="00D57882">
              <w:rPr>
                <w:rFonts w:cs="Arial"/>
                <w:sz w:val="20"/>
                <w:szCs w:val="20"/>
              </w:rPr>
              <w:tab/>
            </w:r>
            <w:r w:rsidRPr="00D57882">
              <w:rPr>
                <w:rFonts w:cs="Arial"/>
                <w:b/>
                <w:sz w:val="20"/>
                <w:szCs w:val="20"/>
              </w:rPr>
              <w:t>£15,000</w:t>
            </w:r>
            <w:r w:rsidRPr="00D57882">
              <w:rPr>
                <w:rFonts w:cs="Arial"/>
                <w:b/>
                <w:sz w:val="20"/>
                <w:szCs w:val="20"/>
              </w:rPr>
              <w:tab/>
            </w:r>
          </w:p>
          <w:p w:rsidR="00456E71" w:rsidRPr="00D57882" w:rsidRDefault="00456E71" w:rsidP="00456E71">
            <w:pPr>
              <w:rPr>
                <w:rFonts w:cs="Arial"/>
                <w:sz w:val="20"/>
                <w:szCs w:val="20"/>
              </w:rPr>
            </w:pPr>
            <w:r>
              <w:rPr>
                <w:rFonts w:cs="Arial"/>
                <w:sz w:val="20"/>
                <w:szCs w:val="20"/>
              </w:rPr>
              <w:t xml:space="preserve">1,001-3,000 </w:t>
            </w:r>
            <w:r w:rsidRPr="00D57882">
              <w:rPr>
                <w:rFonts w:cs="Arial"/>
                <w:sz w:val="20"/>
                <w:szCs w:val="20"/>
              </w:rPr>
              <w:t>employees</w:t>
            </w:r>
            <w:r w:rsidRPr="00D57882">
              <w:rPr>
                <w:rFonts w:cs="Arial"/>
                <w:sz w:val="20"/>
                <w:szCs w:val="20"/>
              </w:rPr>
              <w:tab/>
            </w:r>
            <w:r w:rsidRPr="00D57882">
              <w:rPr>
                <w:rFonts w:cs="Arial"/>
                <w:b/>
                <w:sz w:val="20"/>
                <w:szCs w:val="20"/>
              </w:rPr>
              <w:t>£10,000</w:t>
            </w:r>
            <w:r w:rsidRPr="00D57882">
              <w:rPr>
                <w:rFonts w:cs="Arial"/>
                <w:b/>
                <w:sz w:val="20"/>
                <w:szCs w:val="20"/>
              </w:rPr>
              <w:tab/>
            </w:r>
          </w:p>
          <w:p w:rsidR="00456E71" w:rsidRPr="00D57882" w:rsidRDefault="00456E71" w:rsidP="00456E71">
            <w:pPr>
              <w:rPr>
                <w:rFonts w:cs="Arial"/>
                <w:sz w:val="20"/>
                <w:szCs w:val="20"/>
              </w:rPr>
            </w:pPr>
            <w:r>
              <w:rPr>
                <w:rFonts w:cs="Arial"/>
                <w:sz w:val="20"/>
                <w:szCs w:val="20"/>
              </w:rPr>
              <w:t xml:space="preserve">501-1000 </w:t>
            </w:r>
            <w:r w:rsidRPr="00D57882">
              <w:rPr>
                <w:rFonts w:cs="Arial"/>
                <w:sz w:val="20"/>
                <w:szCs w:val="20"/>
              </w:rPr>
              <w:t>employees</w:t>
            </w:r>
            <w:r w:rsidRPr="00D57882">
              <w:rPr>
                <w:rFonts w:cs="Arial"/>
                <w:sz w:val="20"/>
                <w:szCs w:val="20"/>
              </w:rPr>
              <w:tab/>
            </w:r>
            <w:r w:rsidRPr="00D57882">
              <w:rPr>
                <w:rFonts w:cs="Arial"/>
                <w:b/>
                <w:sz w:val="20"/>
                <w:szCs w:val="20"/>
              </w:rPr>
              <w:t>£8,000</w:t>
            </w:r>
            <w:r w:rsidRPr="00D57882">
              <w:rPr>
                <w:rFonts w:cs="Arial"/>
                <w:sz w:val="20"/>
                <w:szCs w:val="20"/>
              </w:rPr>
              <w:tab/>
            </w:r>
          </w:p>
          <w:p w:rsidR="00456E71" w:rsidRPr="00D57882" w:rsidRDefault="00456E71" w:rsidP="00456E71">
            <w:pPr>
              <w:rPr>
                <w:rFonts w:cs="Arial"/>
                <w:sz w:val="20"/>
                <w:szCs w:val="20"/>
              </w:rPr>
            </w:pPr>
            <w:r>
              <w:rPr>
                <w:rFonts w:cs="Arial"/>
                <w:sz w:val="20"/>
                <w:szCs w:val="20"/>
              </w:rPr>
              <w:t xml:space="preserve">101-500 </w:t>
            </w:r>
            <w:r w:rsidRPr="00D57882">
              <w:rPr>
                <w:rFonts w:cs="Arial"/>
                <w:sz w:val="20"/>
                <w:szCs w:val="20"/>
              </w:rPr>
              <w:t>employees</w:t>
            </w:r>
            <w:r w:rsidRPr="00D57882">
              <w:rPr>
                <w:rFonts w:cs="Arial"/>
                <w:sz w:val="20"/>
                <w:szCs w:val="20"/>
              </w:rPr>
              <w:tab/>
            </w:r>
            <w:r w:rsidRPr="00D57882">
              <w:rPr>
                <w:rFonts w:cs="Arial"/>
                <w:b/>
                <w:sz w:val="20"/>
                <w:szCs w:val="20"/>
              </w:rPr>
              <w:t>£2,000</w:t>
            </w:r>
            <w:r w:rsidRPr="00D57882">
              <w:rPr>
                <w:rFonts w:cs="Arial"/>
                <w:b/>
                <w:sz w:val="20"/>
                <w:szCs w:val="20"/>
              </w:rPr>
              <w:tab/>
            </w:r>
          </w:p>
          <w:p w:rsidR="00456E71" w:rsidRPr="00D57882" w:rsidRDefault="00456E71" w:rsidP="00456E71">
            <w:pPr>
              <w:rPr>
                <w:rFonts w:cs="Arial"/>
                <w:sz w:val="20"/>
                <w:szCs w:val="20"/>
              </w:rPr>
            </w:pPr>
            <w:r>
              <w:rPr>
                <w:rFonts w:cs="Arial"/>
                <w:sz w:val="20"/>
                <w:szCs w:val="20"/>
              </w:rPr>
              <w:t xml:space="preserve">11- 100 </w:t>
            </w:r>
            <w:r w:rsidRPr="00D57882">
              <w:rPr>
                <w:rFonts w:cs="Arial"/>
                <w:sz w:val="20"/>
                <w:szCs w:val="20"/>
              </w:rPr>
              <w:t>employees</w:t>
            </w:r>
            <w:r w:rsidRPr="00D57882">
              <w:rPr>
                <w:rFonts w:cs="Arial"/>
                <w:sz w:val="20"/>
                <w:szCs w:val="20"/>
              </w:rPr>
              <w:tab/>
            </w:r>
            <w:r w:rsidRPr="00D57882">
              <w:rPr>
                <w:rFonts w:cs="Arial"/>
                <w:b/>
                <w:sz w:val="20"/>
                <w:szCs w:val="20"/>
              </w:rPr>
              <w:t>£1,000</w:t>
            </w:r>
            <w:r w:rsidRPr="00D57882">
              <w:rPr>
                <w:rFonts w:cs="Arial"/>
                <w:b/>
                <w:sz w:val="20"/>
                <w:szCs w:val="20"/>
              </w:rPr>
              <w:tab/>
            </w:r>
          </w:p>
          <w:p w:rsidR="00456E71" w:rsidRPr="00D57882" w:rsidRDefault="00456E71" w:rsidP="00456E71">
            <w:pPr>
              <w:rPr>
                <w:rFonts w:cs="Arial"/>
                <w:sz w:val="20"/>
                <w:szCs w:val="20"/>
              </w:rPr>
            </w:pPr>
            <w:r w:rsidRPr="00D57882">
              <w:rPr>
                <w:rFonts w:cs="Arial"/>
                <w:sz w:val="20"/>
                <w:szCs w:val="20"/>
              </w:rPr>
              <w:t>Under 10 employees</w:t>
            </w:r>
            <w:r w:rsidRPr="00D57882">
              <w:rPr>
                <w:rFonts w:cs="Arial"/>
                <w:sz w:val="20"/>
                <w:szCs w:val="20"/>
              </w:rPr>
              <w:tab/>
            </w:r>
            <w:r w:rsidRPr="00D57882">
              <w:rPr>
                <w:rFonts w:cs="Arial"/>
                <w:b/>
                <w:sz w:val="20"/>
                <w:szCs w:val="20"/>
              </w:rPr>
              <w:t>£500</w:t>
            </w:r>
          </w:p>
          <w:p w:rsidR="00456E71" w:rsidRPr="00C26C9C" w:rsidRDefault="00456E71" w:rsidP="008E7158"/>
        </w:tc>
      </w:tr>
    </w:tbl>
    <w:p w:rsidR="008E7158" w:rsidRDefault="008E7158"/>
    <w:sectPr w:rsidR="008E7158" w:rsidSect="00FE2CB6">
      <w:head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CB6" w:rsidRDefault="00FE2CB6" w:rsidP="00FE2CB6">
      <w:pPr>
        <w:spacing w:after="0" w:line="240" w:lineRule="auto"/>
      </w:pPr>
      <w:r>
        <w:separator/>
      </w:r>
    </w:p>
  </w:endnote>
  <w:endnote w:type="continuationSeparator" w:id="0">
    <w:p w:rsidR="00FE2CB6" w:rsidRDefault="00FE2CB6" w:rsidP="00FE2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CB6" w:rsidRDefault="00FE2CB6" w:rsidP="00FE2CB6">
      <w:pPr>
        <w:spacing w:after="0" w:line="240" w:lineRule="auto"/>
      </w:pPr>
      <w:r>
        <w:separator/>
      </w:r>
    </w:p>
  </w:footnote>
  <w:footnote w:type="continuationSeparator" w:id="0">
    <w:p w:rsidR="00FE2CB6" w:rsidRDefault="00FE2CB6" w:rsidP="00FE2C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CB6" w:rsidRDefault="00FE2CB6">
    <w:pPr>
      <w:pStyle w:val="Header"/>
    </w:pPr>
  </w:p>
  <w:p w:rsidR="00FE2CB6" w:rsidRDefault="00FE2C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7037C"/>
    <w:multiLevelType w:val="hybridMultilevel"/>
    <w:tmpl w:val="CC3EE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E91389"/>
    <w:multiLevelType w:val="hybridMultilevel"/>
    <w:tmpl w:val="45867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136343D"/>
    <w:multiLevelType w:val="hybridMultilevel"/>
    <w:tmpl w:val="450C28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59D74C8B"/>
    <w:multiLevelType w:val="hybridMultilevel"/>
    <w:tmpl w:val="65B2D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486"/>
    <w:rsid w:val="00001E1D"/>
    <w:rsid w:val="002B0F3A"/>
    <w:rsid w:val="00390486"/>
    <w:rsid w:val="003B641B"/>
    <w:rsid w:val="00456E71"/>
    <w:rsid w:val="00465DA6"/>
    <w:rsid w:val="00740C05"/>
    <w:rsid w:val="007543F6"/>
    <w:rsid w:val="008E7158"/>
    <w:rsid w:val="00C26C9C"/>
    <w:rsid w:val="00C36937"/>
    <w:rsid w:val="00FE2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0486"/>
    <w:rPr>
      <w:color w:val="0000FF" w:themeColor="hyperlink"/>
      <w:u w:val="single"/>
    </w:rPr>
  </w:style>
  <w:style w:type="table" w:styleId="TableGrid">
    <w:name w:val="Table Grid"/>
    <w:basedOn w:val="TableNormal"/>
    <w:uiPriority w:val="59"/>
    <w:rsid w:val="00390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26C9C"/>
    <w:pPr>
      <w:ind w:left="720"/>
      <w:contextualSpacing/>
    </w:pPr>
  </w:style>
  <w:style w:type="paragraph" w:styleId="Header">
    <w:name w:val="header"/>
    <w:basedOn w:val="Normal"/>
    <w:link w:val="HeaderChar"/>
    <w:uiPriority w:val="99"/>
    <w:unhideWhenUsed/>
    <w:rsid w:val="00FE2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CB6"/>
  </w:style>
  <w:style w:type="paragraph" w:styleId="Footer">
    <w:name w:val="footer"/>
    <w:basedOn w:val="Normal"/>
    <w:link w:val="FooterChar"/>
    <w:uiPriority w:val="99"/>
    <w:unhideWhenUsed/>
    <w:rsid w:val="00FE2C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CB6"/>
  </w:style>
  <w:style w:type="paragraph" w:styleId="BalloonText">
    <w:name w:val="Balloon Text"/>
    <w:basedOn w:val="Normal"/>
    <w:link w:val="BalloonTextChar"/>
    <w:uiPriority w:val="99"/>
    <w:semiHidden/>
    <w:unhideWhenUsed/>
    <w:rsid w:val="00FE2C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C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0486"/>
    <w:rPr>
      <w:color w:val="0000FF" w:themeColor="hyperlink"/>
      <w:u w:val="single"/>
    </w:rPr>
  </w:style>
  <w:style w:type="table" w:styleId="TableGrid">
    <w:name w:val="Table Grid"/>
    <w:basedOn w:val="TableNormal"/>
    <w:uiPriority w:val="59"/>
    <w:rsid w:val="00390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26C9C"/>
    <w:pPr>
      <w:ind w:left="720"/>
      <w:contextualSpacing/>
    </w:pPr>
  </w:style>
  <w:style w:type="paragraph" w:styleId="Header">
    <w:name w:val="header"/>
    <w:basedOn w:val="Normal"/>
    <w:link w:val="HeaderChar"/>
    <w:uiPriority w:val="99"/>
    <w:unhideWhenUsed/>
    <w:rsid w:val="00FE2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CB6"/>
  </w:style>
  <w:style w:type="paragraph" w:styleId="Footer">
    <w:name w:val="footer"/>
    <w:basedOn w:val="Normal"/>
    <w:link w:val="FooterChar"/>
    <w:uiPriority w:val="99"/>
    <w:unhideWhenUsed/>
    <w:rsid w:val="00FE2C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CB6"/>
  </w:style>
  <w:style w:type="paragraph" w:styleId="BalloonText">
    <w:name w:val="Balloon Text"/>
    <w:basedOn w:val="Normal"/>
    <w:link w:val="BalloonTextChar"/>
    <w:uiPriority w:val="99"/>
    <w:semiHidden/>
    <w:unhideWhenUsed/>
    <w:rsid w:val="00FE2C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C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33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die.eastwood@bl.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 British Library</Company>
  <LinksUpToDate>false</LinksUpToDate>
  <CharactersWithSpaces>4607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Eastwood, Jodie</dc:creator>
  <cp:lastModifiedBy>Eastwood, Jodie</cp:lastModifiedBy>
  <cp:revision>4</cp:revision>
  <dcterms:created xsi:type="dcterms:W3CDTF">2018-03-08T12:55:00Z</dcterms:created>
  <dcterms:modified xsi:type="dcterms:W3CDTF">2019-07-10T11:39:00Z</dcterms:modified>
</cp:coreProperties>
</file>